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BA221" w14:textId="77777777" w:rsidR="004048B0" w:rsidRDefault="004048B0" w:rsidP="004E4D60">
      <w:pPr>
        <w:pStyle w:val="Ttulo"/>
        <w:rPr>
          <w:rFonts w:ascii="Verdana" w:hAnsi="Verdana"/>
          <w:szCs w:val="22"/>
        </w:rPr>
      </w:pPr>
    </w:p>
    <w:p w14:paraId="423792F2" w14:textId="77777777" w:rsidR="004048B0" w:rsidRDefault="004048B0" w:rsidP="004E4D60">
      <w:pPr>
        <w:pStyle w:val="Ttulo"/>
        <w:rPr>
          <w:rFonts w:ascii="Verdana" w:hAnsi="Verdana"/>
          <w:szCs w:val="22"/>
        </w:rPr>
      </w:pPr>
    </w:p>
    <w:p w14:paraId="690D2847" w14:textId="77777777" w:rsidR="004048B0" w:rsidRDefault="004048B0" w:rsidP="004E4D60">
      <w:pPr>
        <w:pStyle w:val="Ttulo"/>
        <w:rPr>
          <w:rFonts w:ascii="Verdana" w:hAnsi="Verdana"/>
          <w:szCs w:val="22"/>
        </w:rPr>
      </w:pPr>
    </w:p>
    <w:p w14:paraId="38CF07E1" w14:textId="77777777" w:rsidR="004E4D60" w:rsidRPr="002F0CC7" w:rsidRDefault="004E4D60" w:rsidP="004E4D60">
      <w:pPr>
        <w:pStyle w:val="Ttulo"/>
        <w:rPr>
          <w:rFonts w:ascii="Verdana" w:hAnsi="Verdana"/>
          <w:szCs w:val="22"/>
        </w:rPr>
      </w:pPr>
      <w:r w:rsidRPr="002F0CC7">
        <w:rPr>
          <w:rFonts w:ascii="Verdana" w:hAnsi="Verdana"/>
          <w:szCs w:val="22"/>
        </w:rPr>
        <w:t>ACUERDO DE CONFIDENCIALIDAD</w:t>
      </w:r>
    </w:p>
    <w:p w14:paraId="796E25A4" w14:textId="77777777"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14:paraId="11A6FBCB" w14:textId="77777777" w:rsidR="004E4D60" w:rsidRDefault="004E4D60" w:rsidP="004E4D60">
      <w:pPr>
        <w:jc w:val="both"/>
        <w:rPr>
          <w:rFonts w:ascii="Verdana" w:hAnsi="Verdana"/>
          <w:sz w:val="22"/>
          <w:szCs w:val="22"/>
        </w:rPr>
      </w:pPr>
    </w:p>
    <w:p w14:paraId="4E164DEC" w14:textId="77777777" w:rsidR="004048B0" w:rsidRPr="002F0CC7" w:rsidRDefault="004048B0" w:rsidP="004E4D60">
      <w:pPr>
        <w:jc w:val="both"/>
        <w:rPr>
          <w:rFonts w:ascii="Verdana" w:hAnsi="Verdana"/>
          <w:sz w:val="22"/>
          <w:szCs w:val="22"/>
        </w:rPr>
      </w:pPr>
    </w:p>
    <w:p w14:paraId="48B832E5" w14:textId="4A8870AF"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  <w:r w:rsidRPr="002F0CC7">
        <w:rPr>
          <w:rFonts w:ascii="Verdana" w:hAnsi="Verdana" w:cs="Arial"/>
          <w:color w:val="000000"/>
          <w:sz w:val="22"/>
          <w:szCs w:val="22"/>
        </w:rPr>
        <w:t>El presente acuerdo de confidencialidad (en adelante, el “</w:t>
      </w:r>
      <w:r w:rsidRPr="002F0CC7">
        <w:rPr>
          <w:rFonts w:ascii="Verdana" w:hAnsi="Verdana" w:cs="Arial"/>
          <w:color w:val="000000"/>
          <w:sz w:val="22"/>
          <w:szCs w:val="22"/>
          <w:u w:val="single"/>
        </w:rPr>
        <w:t>Acuerdo</w:t>
      </w:r>
      <w:r w:rsidRPr="002F0CC7">
        <w:rPr>
          <w:rFonts w:ascii="Verdana" w:hAnsi="Verdana" w:cs="Arial"/>
          <w:color w:val="000000"/>
          <w:sz w:val="22"/>
          <w:szCs w:val="22"/>
        </w:rPr>
        <w:t xml:space="preserve">”), </w:t>
      </w:r>
      <w:bookmarkStart w:id="0" w:name="S2_entered"/>
      <w:bookmarkStart w:id="1" w:name="OP1_pikbcP9s"/>
      <w:bookmarkEnd w:id="0"/>
      <w:r w:rsidRPr="002F0CC7">
        <w:rPr>
          <w:rFonts w:ascii="Verdana" w:hAnsi="Verdana" w:cs="Arial"/>
          <w:color w:val="000000"/>
          <w:sz w:val="22"/>
          <w:szCs w:val="22"/>
        </w:rPr>
        <w:t>ha sido suscrito el día</w:t>
      </w:r>
      <w:bookmarkEnd w:id="1"/>
      <w:r w:rsidRPr="002F0CC7">
        <w:rPr>
          <w:rFonts w:ascii="Verdana" w:hAnsi="Verdana" w:cs="Arial"/>
          <w:color w:val="000000"/>
          <w:sz w:val="22"/>
          <w:szCs w:val="22"/>
        </w:rPr>
        <w:t xml:space="preserve"> </w:t>
      </w:r>
      <w:bookmarkStart w:id="2" w:name="S3"/>
      <w:bookmarkEnd w:id="2"/>
      <w:r w:rsidRPr="002F0CC7">
        <w:rPr>
          <w:rFonts w:ascii="Verdana" w:hAnsi="Verdana" w:cs="Arial"/>
          <w:color w:val="000000"/>
          <w:sz w:val="22"/>
          <w:szCs w:val="22"/>
        </w:rPr>
        <w:t>[_____] de [_________________] de 20</w:t>
      </w:r>
      <w:bookmarkStart w:id="3" w:name="OP1_83234P0t"/>
      <w:r w:rsidR="005D7FD6">
        <w:rPr>
          <w:rFonts w:ascii="Verdana" w:hAnsi="Verdana" w:cs="Arial"/>
          <w:color w:val="000000"/>
          <w:sz w:val="22"/>
          <w:szCs w:val="22"/>
        </w:rPr>
        <w:t>XX</w:t>
      </w:r>
      <w:r w:rsidRPr="002F0CC7">
        <w:rPr>
          <w:rFonts w:ascii="Verdana" w:hAnsi="Verdana" w:cs="Arial"/>
          <w:color w:val="000000"/>
          <w:sz w:val="22"/>
          <w:szCs w:val="22"/>
        </w:rPr>
        <w:t>,</w:t>
      </w:r>
      <w:bookmarkEnd w:id="3"/>
      <w:r w:rsidRPr="002F0CC7">
        <w:rPr>
          <w:rFonts w:ascii="Verdana" w:hAnsi="Verdana" w:cs="Arial"/>
          <w:color w:val="000000"/>
          <w:sz w:val="22"/>
          <w:szCs w:val="22"/>
        </w:rPr>
        <w:t xml:space="preserve"> por y entre, </w:t>
      </w:r>
      <w:r w:rsidRPr="002F0CC7">
        <w:rPr>
          <w:rFonts w:ascii="Verdana" w:hAnsi="Verdana" w:cs="Arial"/>
          <w:b/>
          <w:color w:val="000000"/>
          <w:sz w:val="22"/>
          <w:szCs w:val="22"/>
        </w:rPr>
        <w:t>CENIT TRANSPORTE Y LOGÍSTICA DE HIDROCARBUROS S.A.S</w:t>
      </w:r>
      <w:r w:rsidRPr="002F0CC7">
        <w:rPr>
          <w:rFonts w:ascii="Verdana" w:hAnsi="Verdana" w:cs="Arial"/>
          <w:color w:val="000000"/>
          <w:sz w:val="22"/>
          <w:szCs w:val="22"/>
        </w:rPr>
        <w:t>, compañía constituida y existente bajo las leyes de Colombia (en adelante, la “</w:t>
      </w:r>
      <w:r w:rsidRPr="002F0CC7">
        <w:rPr>
          <w:rFonts w:ascii="Verdana" w:hAnsi="Verdana" w:cs="Arial"/>
          <w:color w:val="000000"/>
          <w:sz w:val="22"/>
          <w:szCs w:val="22"/>
          <w:u w:val="single"/>
        </w:rPr>
        <w:t>Parte Reveladora</w:t>
      </w:r>
      <w:r w:rsidRPr="002F0CC7">
        <w:rPr>
          <w:rFonts w:ascii="Verdana" w:hAnsi="Verdana" w:cs="Arial"/>
          <w:color w:val="000000"/>
          <w:sz w:val="22"/>
          <w:szCs w:val="22"/>
        </w:rPr>
        <w:t>”</w:t>
      </w:r>
      <w:r w:rsidR="002F0CC7" w:rsidRPr="002F0CC7">
        <w:rPr>
          <w:rFonts w:ascii="Verdana" w:hAnsi="Verdana" w:cs="Arial"/>
          <w:color w:val="000000"/>
          <w:sz w:val="22"/>
          <w:szCs w:val="22"/>
        </w:rPr>
        <w:t xml:space="preserve"> y/o “Cenit”</w:t>
      </w:r>
      <w:r w:rsidRPr="002F0CC7">
        <w:rPr>
          <w:rFonts w:ascii="Verdana" w:hAnsi="Verdana" w:cs="Arial"/>
          <w:color w:val="000000"/>
          <w:sz w:val="22"/>
          <w:szCs w:val="22"/>
        </w:rPr>
        <w:t>); y</w:t>
      </w:r>
      <w:r w:rsidRPr="002F0CC7">
        <w:rPr>
          <w:rFonts w:ascii="Verdana" w:hAnsi="Verdana" w:cs="Arial"/>
          <w:sz w:val="22"/>
          <w:szCs w:val="22"/>
        </w:rPr>
        <w:t xml:space="preserve"> </w:t>
      </w:r>
      <w:r w:rsidRPr="002F0CC7">
        <w:rPr>
          <w:rFonts w:ascii="Verdana" w:hAnsi="Verdana" w:cs="Arial"/>
          <w:b/>
          <w:sz w:val="22"/>
          <w:szCs w:val="22"/>
        </w:rPr>
        <w:t>[_______]</w:t>
      </w:r>
      <w:r w:rsidRPr="002F0CC7">
        <w:rPr>
          <w:rFonts w:ascii="Verdana" w:hAnsi="Verdana" w:cs="Arial"/>
          <w:sz w:val="22"/>
          <w:szCs w:val="22"/>
        </w:rPr>
        <w:t>, sociedad constituida de conformidad con las leyes de [_______________________] (en adelante, la “</w:t>
      </w:r>
      <w:r w:rsidRPr="002F0CC7">
        <w:rPr>
          <w:rFonts w:ascii="Verdana" w:hAnsi="Verdana" w:cs="Arial"/>
          <w:sz w:val="22"/>
          <w:szCs w:val="22"/>
          <w:u w:val="single"/>
        </w:rPr>
        <w:t>Parte Receptora</w:t>
      </w:r>
      <w:r w:rsidRPr="002F0CC7">
        <w:rPr>
          <w:rFonts w:ascii="Verdana" w:hAnsi="Verdana" w:cs="Arial"/>
          <w:sz w:val="22"/>
          <w:szCs w:val="22"/>
        </w:rPr>
        <w:t>”, y conjuntamente con la Parte Reveladora, las “</w:t>
      </w:r>
      <w:r w:rsidRPr="002F0CC7">
        <w:rPr>
          <w:rFonts w:ascii="Verdana" w:hAnsi="Verdana" w:cs="Arial"/>
          <w:sz w:val="22"/>
          <w:szCs w:val="22"/>
          <w:u w:val="single"/>
        </w:rPr>
        <w:t>Partes</w:t>
      </w:r>
      <w:r w:rsidRPr="002F0CC7">
        <w:rPr>
          <w:rFonts w:ascii="Verdana" w:hAnsi="Verdana" w:cs="Arial"/>
          <w:sz w:val="22"/>
          <w:szCs w:val="22"/>
        </w:rPr>
        <w:t xml:space="preserve">”), </w:t>
      </w:r>
      <w:r w:rsidRPr="002F0CC7">
        <w:rPr>
          <w:rFonts w:ascii="Verdana" w:hAnsi="Verdana"/>
          <w:sz w:val="22"/>
          <w:szCs w:val="22"/>
        </w:rPr>
        <w:t>previas las siguientes</w:t>
      </w:r>
    </w:p>
    <w:p w14:paraId="5D856510" w14:textId="77777777"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14:paraId="618309E7" w14:textId="77777777"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14:paraId="7B1FBCC1" w14:textId="77777777" w:rsidR="004E4D60" w:rsidRDefault="004E4D60" w:rsidP="004E4D60">
      <w:pPr>
        <w:jc w:val="center"/>
        <w:rPr>
          <w:rFonts w:ascii="Verdana" w:hAnsi="Verdana"/>
          <w:b/>
          <w:sz w:val="22"/>
          <w:szCs w:val="22"/>
        </w:rPr>
      </w:pPr>
      <w:r w:rsidRPr="002F0CC7">
        <w:rPr>
          <w:rFonts w:ascii="Verdana" w:hAnsi="Verdana"/>
          <w:b/>
          <w:sz w:val="22"/>
          <w:szCs w:val="22"/>
        </w:rPr>
        <w:t>CONSIDERACIONES:</w:t>
      </w:r>
    </w:p>
    <w:p w14:paraId="0B993027" w14:textId="77777777" w:rsidR="004048B0" w:rsidRPr="002F0CC7" w:rsidRDefault="004048B0" w:rsidP="004E4D60">
      <w:pPr>
        <w:jc w:val="center"/>
        <w:rPr>
          <w:rFonts w:ascii="Verdana" w:hAnsi="Verdana"/>
          <w:b/>
          <w:sz w:val="22"/>
          <w:szCs w:val="22"/>
        </w:rPr>
      </w:pPr>
    </w:p>
    <w:p w14:paraId="0ED8FB59" w14:textId="77777777"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14:paraId="352F3B22" w14:textId="77777777" w:rsidR="007256FA" w:rsidRPr="002F0CC7" w:rsidRDefault="007256FA" w:rsidP="00B04996">
      <w:pPr>
        <w:numPr>
          <w:ilvl w:val="0"/>
          <w:numId w:val="3"/>
        </w:numPr>
        <w:jc w:val="both"/>
        <w:rPr>
          <w:rFonts w:ascii="Verdana" w:hAnsi="Verdana" w:cs="Arial"/>
          <w:sz w:val="22"/>
          <w:szCs w:val="22"/>
          <w:lang w:val="es-ES" w:eastAsia="es-CO"/>
        </w:rPr>
      </w:pPr>
      <w:r w:rsidRPr="002F0CC7">
        <w:rPr>
          <w:rFonts w:ascii="Verdana" w:hAnsi="Verdana" w:cs="Arial"/>
          <w:sz w:val="22"/>
          <w:szCs w:val="22"/>
          <w:lang w:val="es-ES" w:eastAsia="es-CO"/>
        </w:rPr>
        <w:t>Que los interesados en contratar el servicio de almacenamiento y cargue en firme en el Terminal de Tocancip</w:t>
      </w:r>
      <w:r w:rsidR="00BE65C1">
        <w:rPr>
          <w:rFonts w:ascii="Verdana" w:hAnsi="Verdana" w:cs="Arial"/>
          <w:sz w:val="22"/>
          <w:szCs w:val="22"/>
          <w:lang w:val="es-ES" w:eastAsia="es-CO"/>
        </w:rPr>
        <w:t>á</w:t>
      </w:r>
      <w:r w:rsidRPr="002F0CC7">
        <w:rPr>
          <w:rFonts w:ascii="Verdana" w:hAnsi="Verdana" w:cs="Arial"/>
          <w:sz w:val="22"/>
          <w:szCs w:val="22"/>
          <w:lang w:val="es-ES" w:eastAsia="es-CO"/>
        </w:rPr>
        <w:t xml:space="preserve"> de propiedad de Cenit Transporte y Logística de Hidrocarburos S.A.S.,</w:t>
      </w:r>
      <w:r w:rsidR="002F0CC7" w:rsidRPr="002F0CC7">
        <w:rPr>
          <w:rFonts w:ascii="Verdana" w:hAnsi="Verdana" w:cs="Arial"/>
          <w:sz w:val="22"/>
          <w:szCs w:val="22"/>
          <w:lang w:val="es-ES" w:eastAsia="es-CO"/>
        </w:rPr>
        <w:t xml:space="preserve"> (en adelante “El Servicio”) </w:t>
      </w:r>
      <w:r w:rsidRPr="002F0CC7">
        <w:rPr>
          <w:rFonts w:ascii="Verdana" w:hAnsi="Verdana" w:cs="Arial"/>
          <w:sz w:val="22"/>
          <w:szCs w:val="22"/>
          <w:lang w:val="es-ES" w:eastAsia="es-CO"/>
        </w:rPr>
        <w:t>deben suscribir un acuerdo de co</w:t>
      </w:r>
      <w:r w:rsidR="002F0CC7" w:rsidRPr="002F0CC7">
        <w:rPr>
          <w:rFonts w:ascii="Verdana" w:hAnsi="Verdana" w:cs="Arial"/>
          <w:sz w:val="22"/>
          <w:szCs w:val="22"/>
          <w:lang w:val="es-ES" w:eastAsia="es-CO"/>
        </w:rPr>
        <w:t xml:space="preserve">nfidencialidad. </w:t>
      </w:r>
    </w:p>
    <w:p w14:paraId="6FFC4ADC" w14:textId="77777777" w:rsidR="002F0CC7" w:rsidRPr="002F0CC7" w:rsidRDefault="002F0CC7" w:rsidP="00B04996">
      <w:pPr>
        <w:ind w:left="-360"/>
        <w:jc w:val="both"/>
        <w:rPr>
          <w:rFonts w:ascii="Verdana" w:hAnsi="Verdana" w:cs="Arial"/>
          <w:sz w:val="22"/>
          <w:szCs w:val="22"/>
          <w:lang w:val="es-ES" w:eastAsia="es-CO"/>
        </w:rPr>
      </w:pPr>
    </w:p>
    <w:p w14:paraId="3CD0CD03" w14:textId="77777777" w:rsidR="002F0CC7" w:rsidRPr="002F0CC7" w:rsidRDefault="002F0CC7" w:rsidP="00B04996">
      <w:pPr>
        <w:numPr>
          <w:ilvl w:val="0"/>
          <w:numId w:val="3"/>
        </w:numPr>
        <w:jc w:val="both"/>
        <w:rPr>
          <w:rFonts w:ascii="Verdana" w:hAnsi="Verdana" w:cs="Arial"/>
          <w:sz w:val="22"/>
          <w:szCs w:val="22"/>
          <w:lang w:val="es-ES" w:eastAsia="es-CO"/>
        </w:rPr>
      </w:pPr>
      <w:r w:rsidRPr="002F0CC7">
        <w:rPr>
          <w:rFonts w:ascii="Verdana" w:hAnsi="Verdana" w:cs="Arial"/>
          <w:sz w:val="22"/>
          <w:szCs w:val="22"/>
          <w:lang w:val="es-ES" w:eastAsia="es-CO"/>
        </w:rPr>
        <w:t>Que solo serán válidas las solicitudes de El S</w:t>
      </w:r>
      <w:r w:rsidR="007256FA" w:rsidRPr="002F0CC7">
        <w:rPr>
          <w:rFonts w:ascii="Verdana" w:hAnsi="Verdana" w:cs="Arial"/>
          <w:sz w:val="22"/>
          <w:szCs w:val="22"/>
          <w:lang w:val="es-ES" w:eastAsia="es-CO"/>
        </w:rPr>
        <w:t xml:space="preserve">ervicio recibidas de interesados que tengan vigentes los acuerdos de confidencialidad previamente mencionados. </w:t>
      </w:r>
    </w:p>
    <w:p w14:paraId="3155C5EE" w14:textId="77777777" w:rsidR="002F0CC7" w:rsidRPr="002F0CC7" w:rsidRDefault="002F0CC7" w:rsidP="00B04996">
      <w:pPr>
        <w:ind w:left="-360"/>
        <w:jc w:val="both"/>
        <w:rPr>
          <w:rFonts w:ascii="Verdana" w:hAnsi="Verdana" w:cs="Arial"/>
          <w:sz w:val="22"/>
          <w:szCs w:val="22"/>
          <w:lang w:val="es-ES" w:eastAsia="es-CO"/>
        </w:rPr>
      </w:pPr>
    </w:p>
    <w:p w14:paraId="42970D22" w14:textId="77777777" w:rsidR="004E4D60" w:rsidRPr="002F0CC7" w:rsidRDefault="004E4D60" w:rsidP="00B04996">
      <w:pPr>
        <w:numPr>
          <w:ilvl w:val="0"/>
          <w:numId w:val="3"/>
        </w:numPr>
        <w:jc w:val="both"/>
        <w:rPr>
          <w:rFonts w:ascii="Verdana" w:hAnsi="Verdana" w:cs="Arial"/>
          <w:sz w:val="22"/>
          <w:szCs w:val="22"/>
          <w:lang w:val="es-ES" w:eastAsia="es-CO"/>
        </w:rPr>
      </w:pPr>
      <w:r w:rsidRPr="002F0CC7">
        <w:rPr>
          <w:rFonts w:ascii="Verdana" w:hAnsi="Verdana"/>
          <w:sz w:val="22"/>
          <w:szCs w:val="22"/>
        </w:rPr>
        <w:t xml:space="preserve">El término de “Información Confidencial” incluirá cualquier información, de cualquier naturaleza y recibida a través de cualquier medio, que </w:t>
      </w:r>
      <w:r w:rsidR="002F0CC7" w:rsidRPr="002F0CC7">
        <w:rPr>
          <w:rFonts w:ascii="Verdana" w:hAnsi="Verdana"/>
          <w:sz w:val="22"/>
          <w:szCs w:val="22"/>
        </w:rPr>
        <w:t xml:space="preserve">la Parte Receptora </w:t>
      </w:r>
      <w:r w:rsidR="00BE65C1">
        <w:rPr>
          <w:rFonts w:ascii="Verdana" w:hAnsi="Verdana"/>
          <w:sz w:val="22"/>
          <w:szCs w:val="22"/>
        </w:rPr>
        <w:t>obtenga de Cenit relacionada</w:t>
      </w:r>
      <w:r w:rsidRPr="002F0CC7">
        <w:rPr>
          <w:rFonts w:ascii="Verdana" w:hAnsi="Verdana"/>
          <w:sz w:val="22"/>
          <w:szCs w:val="22"/>
        </w:rPr>
        <w:t xml:space="preserve"> </w:t>
      </w:r>
      <w:r w:rsidR="00BE65C1">
        <w:rPr>
          <w:rFonts w:ascii="Verdana" w:hAnsi="Verdana"/>
          <w:sz w:val="22"/>
          <w:szCs w:val="22"/>
        </w:rPr>
        <w:t>con El Servicio</w:t>
      </w:r>
      <w:r w:rsidRPr="002F0CC7">
        <w:rPr>
          <w:rFonts w:ascii="Verdana" w:hAnsi="Verdana"/>
          <w:sz w:val="22"/>
          <w:szCs w:val="22"/>
        </w:rPr>
        <w:t xml:space="preserve">, ya sea por escrito, en forma verbal o por cualquier otro medio. </w:t>
      </w:r>
    </w:p>
    <w:p w14:paraId="37DFAABE" w14:textId="77777777" w:rsidR="004E4D60" w:rsidRPr="002F0CC7" w:rsidRDefault="004E4D60" w:rsidP="004E4D60">
      <w:pPr>
        <w:tabs>
          <w:tab w:val="left" w:pos="6521"/>
        </w:tabs>
        <w:jc w:val="both"/>
        <w:rPr>
          <w:rFonts w:ascii="Verdana" w:hAnsi="Verdana"/>
          <w:b/>
          <w:sz w:val="22"/>
          <w:szCs w:val="22"/>
        </w:rPr>
      </w:pPr>
    </w:p>
    <w:p w14:paraId="1AA60940" w14:textId="77777777" w:rsidR="004E4D60" w:rsidRPr="002F0CC7" w:rsidRDefault="004E4D60" w:rsidP="004E4D60">
      <w:pPr>
        <w:pStyle w:val="Ttulo1"/>
        <w:rPr>
          <w:rFonts w:ascii="Verdana" w:hAnsi="Verdana"/>
          <w:sz w:val="22"/>
          <w:szCs w:val="22"/>
        </w:rPr>
      </w:pPr>
    </w:p>
    <w:p w14:paraId="6EBDA800" w14:textId="77777777" w:rsidR="004E4D60" w:rsidRDefault="004E4D60" w:rsidP="004E4D60">
      <w:pPr>
        <w:jc w:val="center"/>
        <w:rPr>
          <w:rFonts w:ascii="Verdana" w:hAnsi="Verdana"/>
          <w:b/>
          <w:sz w:val="22"/>
          <w:szCs w:val="22"/>
        </w:rPr>
      </w:pPr>
      <w:r w:rsidRPr="002F0CC7">
        <w:rPr>
          <w:rFonts w:ascii="Verdana" w:hAnsi="Verdana"/>
          <w:b/>
          <w:sz w:val="22"/>
          <w:szCs w:val="22"/>
        </w:rPr>
        <w:t>ACUERDAN:</w:t>
      </w:r>
    </w:p>
    <w:p w14:paraId="7CE2FA56" w14:textId="77777777" w:rsidR="004048B0" w:rsidRPr="002F0CC7" w:rsidRDefault="004048B0" w:rsidP="004E4D60">
      <w:pPr>
        <w:jc w:val="center"/>
        <w:rPr>
          <w:rFonts w:ascii="Verdana" w:hAnsi="Verdana"/>
          <w:b/>
          <w:sz w:val="22"/>
          <w:szCs w:val="22"/>
        </w:rPr>
      </w:pPr>
    </w:p>
    <w:p w14:paraId="2AAABCA4" w14:textId="77777777"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14:paraId="73139BBE" w14:textId="77777777"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  <w:r w:rsidRPr="002F0CC7">
        <w:rPr>
          <w:rFonts w:ascii="Verdana" w:hAnsi="Verdana"/>
          <w:b/>
          <w:sz w:val="22"/>
          <w:szCs w:val="22"/>
        </w:rPr>
        <w:t xml:space="preserve">PRIMERO.- </w:t>
      </w:r>
      <w:r w:rsidRPr="002F0CC7">
        <w:rPr>
          <w:rFonts w:ascii="Verdana" w:hAnsi="Verdana"/>
          <w:sz w:val="22"/>
          <w:szCs w:val="22"/>
        </w:rPr>
        <w:t xml:space="preserve">En virtud del presente acuerdo </w:t>
      </w:r>
      <w:r w:rsidR="002F0CC7" w:rsidRPr="002F0CC7">
        <w:rPr>
          <w:rFonts w:ascii="Verdana" w:hAnsi="Verdana"/>
          <w:sz w:val="22"/>
          <w:szCs w:val="22"/>
        </w:rPr>
        <w:t xml:space="preserve">La Parte Receptora </w:t>
      </w:r>
      <w:r w:rsidRPr="002F0CC7">
        <w:rPr>
          <w:rFonts w:ascii="Verdana" w:hAnsi="Verdana"/>
          <w:sz w:val="22"/>
          <w:szCs w:val="22"/>
        </w:rPr>
        <w:t xml:space="preserve">se obliga a no divulgar la Información Confidencial a ninguna persona, a no ser que esté autorizado en forma expresa, previa y escrita por la </w:t>
      </w:r>
      <w:r w:rsidR="00BE65C1">
        <w:rPr>
          <w:rFonts w:ascii="Verdana" w:hAnsi="Verdana"/>
          <w:sz w:val="22"/>
          <w:szCs w:val="22"/>
        </w:rPr>
        <w:t>Parte Reveladora</w:t>
      </w:r>
      <w:r w:rsidRPr="002F0CC7">
        <w:rPr>
          <w:rFonts w:ascii="Verdana" w:hAnsi="Verdana"/>
          <w:sz w:val="22"/>
          <w:szCs w:val="22"/>
        </w:rPr>
        <w:t xml:space="preserve">. </w:t>
      </w:r>
      <w:r w:rsidR="002F0CC7">
        <w:rPr>
          <w:rFonts w:ascii="Verdana" w:hAnsi="Verdana"/>
          <w:sz w:val="22"/>
          <w:szCs w:val="22"/>
        </w:rPr>
        <w:t xml:space="preserve">La Parte Receptora </w:t>
      </w:r>
      <w:r w:rsidRPr="002F0CC7">
        <w:rPr>
          <w:rFonts w:ascii="Verdana" w:hAnsi="Verdana"/>
          <w:sz w:val="22"/>
          <w:szCs w:val="22"/>
        </w:rPr>
        <w:t>podrá entregar Información Confidencial a sus empleados u otros asesores que</w:t>
      </w:r>
      <w:r w:rsidR="00B04996">
        <w:rPr>
          <w:rFonts w:ascii="Verdana" w:hAnsi="Verdana"/>
          <w:sz w:val="22"/>
          <w:szCs w:val="22"/>
        </w:rPr>
        <w:t xml:space="preserve"> requiera en relación con la contratación de El Servicio. E</w:t>
      </w:r>
      <w:r w:rsidRPr="002F0CC7">
        <w:rPr>
          <w:rFonts w:ascii="Verdana" w:hAnsi="Verdana"/>
          <w:sz w:val="22"/>
          <w:szCs w:val="22"/>
        </w:rPr>
        <w:t>n todo caso</w:t>
      </w:r>
      <w:r w:rsidR="00B04996">
        <w:rPr>
          <w:rFonts w:ascii="Verdana" w:hAnsi="Verdana"/>
          <w:sz w:val="22"/>
          <w:szCs w:val="22"/>
        </w:rPr>
        <w:t xml:space="preserve"> la Parte Receptora</w:t>
      </w:r>
      <w:r w:rsidRPr="002F0CC7">
        <w:rPr>
          <w:rFonts w:ascii="Verdana" w:hAnsi="Verdana"/>
          <w:sz w:val="22"/>
          <w:szCs w:val="22"/>
        </w:rPr>
        <w:t xml:space="preserve"> </w:t>
      </w:r>
      <w:r w:rsidR="00BE65C1" w:rsidRPr="002F0CC7">
        <w:rPr>
          <w:rFonts w:ascii="Verdana" w:hAnsi="Verdana"/>
          <w:sz w:val="22"/>
          <w:szCs w:val="22"/>
        </w:rPr>
        <w:t xml:space="preserve">se obliga a enterarlos de la existencia, contenido y </w:t>
      </w:r>
      <w:r w:rsidR="00BE65C1" w:rsidRPr="002F0CC7">
        <w:rPr>
          <w:rFonts w:ascii="Verdana" w:hAnsi="Verdana"/>
          <w:sz w:val="22"/>
          <w:szCs w:val="22"/>
        </w:rPr>
        <w:lastRenderedPageBreak/>
        <w:t xml:space="preserve">alcances del presente Acuerdo </w:t>
      </w:r>
      <w:r w:rsidR="00BE65C1">
        <w:rPr>
          <w:rFonts w:ascii="Verdana" w:hAnsi="Verdana"/>
          <w:sz w:val="22"/>
          <w:szCs w:val="22"/>
        </w:rPr>
        <w:t xml:space="preserve">y </w:t>
      </w:r>
      <w:r w:rsidRPr="002F0CC7">
        <w:rPr>
          <w:rFonts w:ascii="Verdana" w:hAnsi="Verdana"/>
          <w:sz w:val="22"/>
          <w:szCs w:val="22"/>
        </w:rPr>
        <w:t>se hace resp</w:t>
      </w:r>
      <w:r w:rsidR="00BE65C1">
        <w:rPr>
          <w:rFonts w:ascii="Verdana" w:hAnsi="Verdana"/>
          <w:sz w:val="22"/>
          <w:szCs w:val="22"/>
        </w:rPr>
        <w:t>onsable por el incumplimiento de</w:t>
      </w:r>
      <w:r w:rsidRPr="002F0CC7">
        <w:rPr>
          <w:rFonts w:ascii="Verdana" w:hAnsi="Verdana"/>
          <w:sz w:val="22"/>
          <w:szCs w:val="22"/>
        </w:rPr>
        <w:t xml:space="preserve"> dicha</w:t>
      </w:r>
      <w:r w:rsidR="00BE65C1">
        <w:rPr>
          <w:rFonts w:ascii="Verdana" w:hAnsi="Verdana"/>
          <w:sz w:val="22"/>
          <w:szCs w:val="22"/>
        </w:rPr>
        <w:t>s personas del presente Acuerdo</w:t>
      </w:r>
      <w:r w:rsidRPr="002F0CC7">
        <w:rPr>
          <w:rFonts w:ascii="Verdana" w:hAnsi="Verdana"/>
          <w:sz w:val="22"/>
          <w:szCs w:val="22"/>
        </w:rPr>
        <w:t>.</w:t>
      </w:r>
    </w:p>
    <w:p w14:paraId="524AC2C1" w14:textId="77777777"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14:paraId="191E5456" w14:textId="77777777"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  <w:r w:rsidRPr="002F0CC7">
        <w:rPr>
          <w:rFonts w:ascii="Verdana" w:hAnsi="Verdana"/>
          <w:b/>
          <w:sz w:val="22"/>
          <w:szCs w:val="22"/>
        </w:rPr>
        <w:t>SEGUNDO.-</w:t>
      </w:r>
      <w:r w:rsidRPr="002F0CC7">
        <w:rPr>
          <w:rFonts w:ascii="Verdana" w:hAnsi="Verdana"/>
          <w:sz w:val="22"/>
          <w:szCs w:val="22"/>
        </w:rPr>
        <w:t xml:space="preserve"> El presente Acuerdo no se aplicará a la información que pueda comprobarse que, por causas distintas al incumplimiento de </w:t>
      </w:r>
      <w:r w:rsidR="00B04996">
        <w:rPr>
          <w:rFonts w:ascii="Verdana" w:hAnsi="Verdana"/>
          <w:sz w:val="22"/>
          <w:szCs w:val="22"/>
        </w:rPr>
        <w:t xml:space="preserve">la Parte Receptora </w:t>
      </w:r>
      <w:r w:rsidRPr="002F0CC7">
        <w:rPr>
          <w:rFonts w:ascii="Verdana" w:hAnsi="Verdana"/>
          <w:sz w:val="22"/>
          <w:szCs w:val="22"/>
        </w:rPr>
        <w:t>de las obligaciones del Acuerdo: (i) sea de dominio público al momento de la revelación; (ii) con posterioridad a la fecha del Acuerdo se convierta legítimamente en información de dominio público, (iii) sea solicitada por autoridad competente dentro de los límites establecidos por la ley.</w:t>
      </w:r>
    </w:p>
    <w:p w14:paraId="3B962223" w14:textId="77777777"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14:paraId="09A869B7" w14:textId="77777777" w:rsidR="004E4D60" w:rsidRPr="002F0CC7" w:rsidRDefault="001D7C35" w:rsidP="004E4D6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TERCERO</w:t>
      </w:r>
      <w:r w:rsidR="004E4D60" w:rsidRPr="002F0CC7">
        <w:rPr>
          <w:rFonts w:ascii="Verdana" w:hAnsi="Verdana"/>
          <w:b/>
          <w:sz w:val="22"/>
          <w:szCs w:val="22"/>
        </w:rPr>
        <w:t>.-</w:t>
      </w:r>
      <w:r w:rsidR="004E4D60" w:rsidRPr="002F0CC7">
        <w:rPr>
          <w:rFonts w:ascii="Verdana" w:hAnsi="Verdana"/>
          <w:sz w:val="22"/>
          <w:szCs w:val="22"/>
        </w:rPr>
        <w:t xml:space="preserve"> </w:t>
      </w:r>
      <w:r w:rsidR="00B04996">
        <w:rPr>
          <w:rFonts w:ascii="Verdana" w:hAnsi="Verdana"/>
          <w:sz w:val="22"/>
          <w:szCs w:val="22"/>
        </w:rPr>
        <w:t xml:space="preserve">La Parte Receptora </w:t>
      </w:r>
      <w:r w:rsidR="004E4D60" w:rsidRPr="002F0CC7">
        <w:rPr>
          <w:rFonts w:ascii="Verdana" w:hAnsi="Verdana"/>
          <w:sz w:val="22"/>
          <w:szCs w:val="22"/>
        </w:rPr>
        <w:t xml:space="preserve">se obliga a mantener la Información Confidencial en estricta confidencialidad y sujeta a procedimientos y seguridades al menos iguales a aquellos que utiliza respecto de información de </w:t>
      </w:r>
      <w:r w:rsidR="00B04996">
        <w:rPr>
          <w:rFonts w:ascii="Verdana" w:hAnsi="Verdana"/>
          <w:sz w:val="22"/>
          <w:szCs w:val="22"/>
        </w:rPr>
        <w:t xml:space="preserve">la Parte Receptora </w:t>
      </w:r>
      <w:r w:rsidR="004E4D60" w:rsidRPr="002F0CC7">
        <w:rPr>
          <w:rFonts w:ascii="Verdana" w:hAnsi="Verdana"/>
          <w:sz w:val="22"/>
          <w:szCs w:val="22"/>
        </w:rPr>
        <w:t>de la misma clase.</w:t>
      </w:r>
    </w:p>
    <w:p w14:paraId="1CEC5285" w14:textId="77777777"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14:paraId="31268545" w14:textId="77777777" w:rsidR="004E4D60" w:rsidRPr="002F0CC7" w:rsidRDefault="001D7C35" w:rsidP="004E4D6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CUARTO</w:t>
      </w:r>
      <w:r w:rsidR="004E4D60" w:rsidRPr="002F0CC7">
        <w:rPr>
          <w:rFonts w:ascii="Verdana" w:hAnsi="Verdana"/>
          <w:b/>
          <w:sz w:val="22"/>
          <w:szCs w:val="22"/>
        </w:rPr>
        <w:t>.-</w:t>
      </w:r>
      <w:r w:rsidR="004E4D60" w:rsidRPr="002F0CC7">
        <w:rPr>
          <w:rFonts w:ascii="Verdana" w:hAnsi="Verdana"/>
          <w:sz w:val="22"/>
          <w:szCs w:val="22"/>
        </w:rPr>
        <w:t xml:space="preserve"> </w:t>
      </w:r>
      <w:r w:rsidR="00B04996">
        <w:rPr>
          <w:rFonts w:ascii="Verdana" w:hAnsi="Verdana"/>
          <w:sz w:val="22"/>
          <w:szCs w:val="22"/>
        </w:rPr>
        <w:t xml:space="preserve">La Parte Receptora </w:t>
      </w:r>
      <w:r w:rsidR="004E4D60" w:rsidRPr="002F0CC7">
        <w:rPr>
          <w:rFonts w:ascii="Verdana" w:hAnsi="Verdana"/>
          <w:sz w:val="22"/>
          <w:szCs w:val="22"/>
        </w:rPr>
        <w:t xml:space="preserve">podrá </w:t>
      </w:r>
      <w:r w:rsidR="004E6233">
        <w:rPr>
          <w:rFonts w:ascii="Verdana" w:hAnsi="Verdana"/>
          <w:sz w:val="22"/>
          <w:szCs w:val="22"/>
        </w:rPr>
        <w:t xml:space="preserve">enviar </w:t>
      </w:r>
      <w:r w:rsidR="004E4D60" w:rsidRPr="002F0CC7">
        <w:rPr>
          <w:rFonts w:ascii="Verdana" w:hAnsi="Verdana"/>
          <w:sz w:val="22"/>
          <w:szCs w:val="22"/>
        </w:rPr>
        <w:t>copias de la Información Confidencial que se le entregue, únicamente para los fines aquí descritos. Todas las copias estarán sometidas a los términos y condiciones del presente Acuerdo.</w:t>
      </w:r>
    </w:p>
    <w:p w14:paraId="2DD37073" w14:textId="77777777"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14:paraId="238DB117" w14:textId="77777777" w:rsidR="004E4D60" w:rsidRDefault="001D7C35" w:rsidP="004E4D6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QUINTO</w:t>
      </w:r>
      <w:r w:rsidR="004E4D60" w:rsidRPr="002F0CC7">
        <w:rPr>
          <w:rFonts w:ascii="Verdana" w:hAnsi="Verdana"/>
          <w:b/>
          <w:sz w:val="22"/>
          <w:szCs w:val="22"/>
        </w:rPr>
        <w:t>.-</w:t>
      </w:r>
      <w:r w:rsidR="004E4D60" w:rsidRPr="002F0CC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La Parte Receptora </w:t>
      </w:r>
      <w:r w:rsidR="004E4D60" w:rsidRPr="002F0CC7">
        <w:rPr>
          <w:rFonts w:ascii="Verdana" w:hAnsi="Verdana"/>
          <w:sz w:val="22"/>
          <w:szCs w:val="22"/>
        </w:rPr>
        <w:t xml:space="preserve">se compromete a utilizar la Información Confidencial únicamente para los fines </w:t>
      </w:r>
      <w:r>
        <w:rPr>
          <w:rFonts w:ascii="Verdana" w:hAnsi="Verdana"/>
          <w:sz w:val="22"/>
          <w:szCs w:val="22"/>
        </w:rPr>
        <w:t>asociados a la prestación de El Servicio</w:t>
      </w:r>
      <w:r w:rsidR="004E4D60" w:rsidRPr="002F0CC7">
        <w:rPr>
          <w:rFonts w:ascii="Verdana" w:hAnsi="Verdana"/>
          <w:sz w:val="22"/>
          <w:szCs w:val="22"/>
        </w:rPr>
        <w:t>. La Información Confidencial no podrá utilizarse, direct</w:t>
      </w:r>
      <w:r>
        <w:rPr>
          <w:rFonts w:ascii="Verdana" w:hAnsi="Verdana"/>
          <w:sz w:val="22"/>
          <w:szCs w:val="22"/>
        </w:rPr>
        <w:t xml:space="preserve">a o indirectamente, para ningún otro fin. </w:t>
      </w:r>
    </w:p>
    <w:p w14:paraId="0DCF7382" w14:textId="77777777" w:rsidR="001D7C35" w:rsidRPr="002F0CC7" w:rsidRDefault="001D7C35" w:rsidP="004E4D60">
      <w:pPr>
        <w:jc w:val="both"/>
        <w:rPr>
          <w:rFonts w:ascii="Verdana" w:hAnsi="Verdana"/>
          <w:sz w:val="22"/>
          <w:szCs w:val="22"/>
        </w:rPr>
      </w:pPr>
    </w:p>
    <w:p w14:paraId="6A8F05E2" w14:textId="77777777" w:rsidR="004E4D60" w:rsidRPr="00BE65C1" w:rsidRDefault="001D7C35" w:rsidP="004E4D60">
      <w:pPr>
        <w:jc w:val="both"/>
        <w:rPr>
          <w:rFonts w:ascii="Verdana" w:hAnsi="Verdana"/>
          <w:sz w:val="22"/>
          <w:szCs w:val="22"/>
        </w:rPr>
      </w:pPr>
      <w:r w:rsidRPr="00BE65C1">
        <w:rPr>
          <w:rFonts w:ascii="Verdana" w:hAnsi="Verdana"/>
          <w:b/>
          <w:sz w:val="22"/>
          <w:szCs w:val="22"/>
        </w:rPr>
        <w:t>SEXTO</w:t>
      </w:r>
      <w:r w:rsidR="004E4D60" w:rsidRPr="00BE65C1">
        <w:rPr>
          <w:rFonts w:ascii="Verdana" w:hAnsi="Verdana"/>
          <w:b/>
          <w:sz w:val="22"/>
          <w:szCs w:val="22"/>
        </w:rPr>
        <w:t>.-</w:t>
      </w:r>
      <w:r w:rsidR="004E4D60" w:rsidRPr="00BE65C1">
        <w:rPr>
          <w:rFonts w:ascii="Verdana" w:hAnsi="Verdana"/>
          <w:sz w:val="22"/>
          <w:szCs w:val="22"/>
        </w:rPr>
        <w:t xml:space="preserve"> </w:t>
      </w:r>
      <w:r w:rsidRPr="00BE65C1">
        <w:rPr>
          <w:rFonts w:ascii="Verdana" w:hAnsi="Verdana"/>
          <w:sz w:val="22"/>
          <w:szCs w:val="22"/>
        </w:rPr>
        <w:t xml:space="preserve">La firma del presente Acuerdo no implica reserva de capacidad </w:t>
      </w:r>
      <w:r w:rsidR="004E6233">
        <w:rPr>
          <w:rFonts w:ascii="Verdana" w:hAnsi="Verdana"/>
          <w:sz w:val="22"/>
          <w:szCs w:val="22"/>
        </w:rPr>
        <w:t xml:space="preserve">de almacenamiento y cargue en el Terminal de Tocancipá </w:t>
      </w:r>
      <w:r w:rsidRPr="00BE65C1">
        <w:rPr>
          <w:rFonts w:ascii="Verdana" w:hAnsi="Verdana"/>
          <w:sz w:val="22"/>
          <w:szCs w:val="22"/>
        </w:rPr>
        <w:t xml:space="preserve">en favor de la Parte Receptora. </w:t>
      </w:r>
    </w:p>
    <w:p w14:paraId="0BE1B022" w14:textId="77777777" w:rsidR="001D7C35" w:rsidRPr="00BE65C1" w:rsidRDefault="001D7C35" w:rsidP="004E4D60">
      <w:pPr>
        <w:jc w:val="both"/>
        <w:rPr>
          <w:rFonts w:ascii="Verdana" w:hAnsi="Verdana"/>
          <w:sz w:val="22"/>
          <w:szCs w:val="22"/>
        </w:rPr>
      </w:pPr>
    </w:p>
    <w:p w14:paraId="6C2EB395" w14:textId="77777777" w:rsidR="00BE65C1" w:rsidRPr="00BE65C1" w:rsidRDefault="001D7C35" w:rsidP="00BE65C1">
      <w:pPr>
        <w:jc w:val="both"/>
        <w:rPr>
          <w:rFonts w:ascii="Verdana" w:hAnsi="Verdana"/>
          <w:sz w:val="22"/>
        </w:rPr>
      </w:pPr>
      <w:r w:rsidRPr="00BE65C1">
        <w:rPr>
          <w:rFonts w:ascii="Verdana" w:hAnsi="Verdana"/>
          <w:b/>
          <w:sz w:val="22"/>
          <w:szCs w:val="22"/>
        </w:rPr>
        <w:t>SÉPTIMO</w:t>
      </w:r>
      <w:r w:rsidR="004E4D60" w:rsidRPr="00BE65C1">
        <w:rPr>
          <w:rFonts w:ascii="Verdana" w:hAnsi="Verdana"/>
          <w:b/>
          <w:sz w:val="22"/>
          <w:szCs w:val="22"/>
        </w:rPr>
        <w:t>.-</w:t>
      </w:r>
      <w:r w:rsidR="004E4D60" w:rsidRPr="00BE65C1">
        <w:rPr>
          <w:rFonts w:ascii="Verdana" w:hAnsi="Verdana"/>
          <w:sz w:val="22"/>
          <w:szCs w:val="22"/>
        </w:rPr>
        <w:t xml:space="preserve"> </w:t>
      </w:r>
      <w:r w:rsidR="00BE65C1" w:rsidRPr="00BE65C1">
        <w:rPr>
          <w:rFonts w:ascii="Verdana" w:hAnsi="Verdana"/>
          <w:sz w:val="22"/>
        </w:rPr>
        <w:t xml:space="preserve">En cualquier momento, durante la vigencia de este Acuerdo o al momento de su terminación, </w:t>
      </w:r>
      <w:r w:rsidR="00BE65C1">
        <w:rPr>
          <w:rFonts w:ascii="Verdana" w:hAnsi="Verdana"/>
          <w:sz w:val="22"/>
        </w:rPr>
        <w:t xml:space="preserve">Cenit </w:t>
      </w:r>
      <w:r w:rsidR="00BE65C1" w:rsidRPr="00BE65C1">
        <w:rPr>
          <w:rFonts w:ascii="Verdana" w:hAnsi="Verdana"/>
          <w:sz w:val="22"/>
        </w:rPr>
        <w:t xml:space="preserve">podrá requerir, y </w:t>
      </w:r>
      <w:r w:rsidR="00BE65C1">
        <w:rPr>
          <w:rFonts w:ascii="Verdana" w:hAnsi="Verdana"/>
          <w:sz w:val="22"/>
        </w:rPr>
        <w:t xml:space="preserve">la Parte Receptora </w:t>
      </w:r>
      <w:r w:rsidR="00BE65C1" w:rsidRPr="00BE65C1">
        <w:rPr>
          <w:rFonts w:ascii="Verdana" w:hAnsi="Verdana"/>
          <w:sz w:val="22"/>
        </w:rPr>
        <w:t xml:space="preserve">se compromete a hacerlo en forma inmediata, la devolución y/o destrucción de la Información Confidencial así como podrá ordenar a </w:t>
      </w:r>
      <w:r w:rsidR="00BE65C1">
        <w:rPr>
          <w:rFonts w:ascii="Verdana" w:hAnsi="Verdana"/>
          <w:sz w:val="22"/>
        </w:rPr>
        <w:t>la Parte Receptora</w:t>
      </w:r>
      <w:r w:rsidR="00BE65C1" w:rsidRPr="00BE65C1">
        <w:rPr>
          <w:rFonts w:ascii="Verdana" w:hAnsi="Verdana"/>
          <w:sz w:val="22"/>
        </w:rPr>
        <w:t xml:space="preserve">, y esta se obliga a cumplir, abstenerse de continuar o iniciar el uso, entrega, divulgación o cualquier mala utilización de la Información Confidencial. </w:t>
      </w:r>
    </w:p>
    <w:p w14:paraId="56AC53EA" w14:textId="77777777" w:rsidR="00BE65C1" w:rsidRPr="00BE65C1" w:rsidRDefault="00BE65C1" w:rsidP="004E4D60">
      <w:pPr>
        <w:jc w:val="both"/>
        <w:rPr>
          <w:rFonts w:ascii="Verdana" w:hAnsi="Verdana"/>
          <w:sz w:val="22"/>
          <w:szCs w:val="22"/>
        </w:rPr>
      </w:pPr>
    </w:p>
    <w:p w14:paraId="2C1C0A5B" w14:textId="77777777" w:rsidR="004E4D60" w:rsidRPr="00BE65C1" w:rsidRDefault="00BE65C1" w:rsidP="004E4D60">
      <w:pPr>
        <w:jc w:val="both"/>
        <w:rPr>
          <w:rFonts w:ascii="Verdana" w:hAnsi="Verdana"/>
          <w:sz w:val="22"/>
          <w:szCs w:val="22"/>
        </w:rPr>
      </w:pPr>
      <w:r w:rsidRPr="00BE65C1">
        <w:rPr>
          <w:rFonts w:ascii="Verdana" w:hAnsi="Verdana"/>
          <w:b/>
          <w:sz w:val="22"/>
          <w:szCs w:val="22"/>
        </w:rPr>
        <w:t>OCTAVO.-</w:t>
      </w:r>
      <w:r>
        <w:rPr>
          <w:rFonts w:ascii="Verdana" w:hAnsi="Verdana"/>
          <w:sz w:val="22"/>
          <w:szCs w:val="22"/>
        </w:rPr>
        <w:t xml:space="preserve"> </w:t>
      </w:r>
      <w:r w:rsidR="004E4D60" w:rsidRPr="00BE65C1">
        <w:rPr>
          <w:rFonts w:ascii="Verdana" w:hAnsi="Verdana"/>
          <w:sz w:val="22"/>
          <w:szCs w:val="22"/>
        </w:rPr>
        <w:t>Este Acuerdo tendrá una vigencia de un (1) año, contado a partir de la fecha de firma del mismo</w:t>
      </w:r>
      <w:r w:rsidR="00304A5A">
        <w:rPr>
          <w:rFonts w:ascii="Verdana" w:hAnsi="Verdana"/>
          <w:sz w:val="22"/>
          <w:szCs w:val="22"/>
        </w:rPr>
        <w:t>, prorrogable</w:t>
      </w:r>
      <w:r w:rsidR="001D7C35" w:rsidRPr="00BE65C1">
        <w:rPr>
          <w:rFonts w:ascii="Verdana" w:hAnsi="Verdana"/>
          <w:sz w:val="22"/>
          <w:szCs w:val="22"/>
        </w:rPr>
        <w:t xml:space="preserve"> automáticamente por periodos de un (1) hasta completar la vigencia del contrato para la prestación de El Servicio, </w:t>
      </w:r>
      <w:r w:rsidR="00304A5A">
        <w:rPr>
          <w:rFonts w:ascii="Verdana" w:hAnsi="Verdana"/>
          <w:sz w:val="22"/>
          <w:szCs w:val="22"/>
        </w:rPr>
        <w:t xml:space="preserve">en caso </w:t>
      </w:r>
      <w:r w:rsidR="001D7C35" w:rsidRPr="00BE65C1">
        <w:rPr>
          <w:rFonts w:ascii="Verdana" w:hAnsi="Verdana"/>
          <w:sz w:val="22"/>
          <w:szCs w:val="22"/>
        </w:rPr>
        <w:t>que se suscriba</w:t>
      </w:r>
      <w:r w:rsidR="004E4D60" w:rsidRPr="00BE65C1">
        <w:rPr>
          <w:rFonts w:ascii="Verdana" w:hAnsi="Verdana"/>
          <w:sz w:val="22"/>
          <w:szCs w:val="22"/>
        </w:rPr>
        <w:t>.</w:t>
      </w:r>
    </w:p>
    <w:p w14:paraId="4AC61070" w14:textId="77777777" w:rsidR="004E4D60" w:rsidRPr="00BE65C1" w:rsidRDefault="004E4D60" w:rsidP="004E4D60">
      <w:pPr>
        <w:jc w:val="both"/>
        <w:rPr>
          <w:rFonts w:ascii="Verdana" w:hAnsi="Verdana"/>
          <w:sz w:val="22"/>
          <w:szCs w:val="22"/>
        </w:rPr>
      </w:pPr>
    </w:p>
    <w:p w14:paraId="2B716830" w14:textId="77777777" w:rsidR="004E4D60" w:rsidRPr="002F0CC7" w:rsidRDefault="00BE65C1" w:rsidP="004E4D6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NOVENO</w:t>
      </w:r>
      <w:r w:rsidR="004E4D60" w:rsidRPr="002F0CC7">
        <w:rPr>
          <w:rFonts w:ascii="Verdana" w:hAnsi="Verdana"/>
          <w:b/>
          <w:sz w:val="22"/>
          <w:szCs w:val="22"/>
        </w:rPr>
        <w:t>.-</w:t>
      </w:r>
      <w:r w:rsidR="004E4D60" w:rsidRPr="002F0CC7">
        <w:rPr>
          <w:rFonts w:ascii="Verdana" w:hAnsi="Verdana"/>
          <w:sz w:val="22"/>
          <w:szCs w:val="22"/>
        </w:rPr>
        <w:t xml:space="preserve"> Este Acuerdo se regirá por las leyes de la República de Colombia.</w:t>
      </w:r>
    </w:p>
    <w:p w14:paraId="38B6C890" w14:textId="77777777"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14:paraId="57390EF5" w14:textId="77777777" w:rsidR="004E4D60" w:rsidRPr="002F0CC7" w:rsidRDefault="00BE65C1" w:rsidP="004E4D6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DÉCIMO</w:t>
      </w:r>
      <w:r w:rsidR="004E4D60" w:rsidRPr="002F0CC7">
        <w:rPr>
          <w:rFonts w:ascii="Verdana" w:hAnsi="Verdana"/>
          <w:b/>
          <w:sz w:val="22"/>
          <w:szCs w:val="22"/>
        </w:rPr>
        <w:t>.-</w:t>
      </w:r>
      <w:r w:rsidR="004E4D60" w:rsidRPr="002F0CC7">
        <w:rPr>
          <w:rFonts w:ascii="Verdana" w:hAnsi="Verdana"/>
          <w:sz w:val="22"/>
          <w:szCs w:val="22"/>
        </w:rPr>
        <w:t xml:space="preserve"> Las partes acuerdan que cualquier reclamación entre ellas como consecuencia de la celebración, ejecución, interpretación o incumplimiento de </w:t>
      </w:r>
      <w:r w:rsidR="004E4D60" w:rsidRPr="002F0CC7">
        <w:rPr>
          <w:rFonts w:ascii="Verdana" w:hAnsi="Verdana"/>
          <w:sz w:val="22"/>
          <w:szCs w:val="22"/>
        </w:rPr>
        <w:lastRenderedPageBreak/>
        <w:t>este Acuerdo que no pueda ser solucionada a través de mecanismos de arreglo directo tales como la negociación directa o la conciliación, será dirimida por un tribunal de arbitramento integrado por tres (3) árbitros nombrados por la Cámara de Comercio de Bogotá, que funcionará de acuerdo con las leyes Colombianas aplicables y las normas del centro de conciliación y arbitraje de la Cámara de Comercio de Bogotá.</w:t>
      </w:r>
    </w:p>
    <w:p w14:paraId="42FFB441" w14:textId="77777777"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14:paraId="66B306FD" w14:textId="77777777"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  <w:r w:rsidRPr="002F0CC7">
        <w:rPr>
          <w:rFonts w:ascii="Verdana" w:hAnsi="Verdana"/>
          <w:sz w:val="22"/>
          <w:szCs w:val="22"/>
        </w:rPr>
        <w:t xml:space="preserve">Para constancia de todo lo anterior, se firma el presente documento en dos </w:t>
      </w:r>
      <w:r w:rsidR="00304A5A">
        <w:rPr>
          <w:rFonts w:ascii="Verdana" w:hAnsi="Verdana"/>
          <w:sz w:val="22"/>
          <w:szCs w:val="22"/>
        </w:rPr>
        <w:t xml:space="preserve">(2) </w:t>
      </w:r>
      <w:r w:rsidRPr="002F0CC7">
        <w:rPr>
          <w:rFonts w:ascii="Verdana" w:hAnsi="Verdana"/>
          <w:sz w:val="22"/>
          <w:szCs w:val="22"/>
        </w:rPr>
        <w:t>ejemplares del mismo tenor</w:t>
      </w:r>
      <w:r w:rsidR="00304A5A">
        <w:rPr>
          <w:rFonts w:ascii="Verdana" w:hAnsi="Verdana"/>
          <w:sz w:val="22"/>
          <w:szCs w:val="22"/>
        </w:rPr>
        <w:t xml:space="preserve"> en la ciudad de Bogotá D.C., </w:t>
      </w:r>
      <w:r w:rsidRPr="002F0CC7">
        <w:rPr>
          <w:rFonts w:ascii="Verdana" w:hAnsi="Verdana"/>
          <w:sz w:val="22"/>
          <w:szCs w:val="22"/>
        </w:rPr>
        <w:t xml:space="preserve">a los </w:t>
      </w:r>
      <w:r w:rsidR="00304A5A">
        <w:rPr>
          <w:rFonts w:ascii="Verdana" w:hAnsi="Verdana"/>
          <w:sz w:val="22"/>
          <w:szCs w:val="22"/>
        </w:rPr>
        <w:t>[                   ]</w:t>
      </w:r>
    </w:p>
    <w:p w14:paraId="7D200EE5" w14:textId="77777777"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14:paraId="51E8521D" w14:textId="77777777"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p w14:paraId="58A3042A" w14:textId="77777777" w:rsidR="004E4D60" w:rsidRPr="002F0CC7" w:rsidRDefault="004E4D60" w:rsidP="004E4D60">
      <w:pPr>
        <w:jc w:val="both"/>
        <w:rPr>
          <w:rFonts w:ascii="Verdana" w:hAnsi="Verdana"/>
          <w:sz w:val="22"/>
          <w:szCs w:val="22"/>
        </w:rPr>
      </w:pPr>
    </w:p>
    <w:tbl>
      <w:tblPr>
        <w:tblW w:w="8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2"/>
        <w:gridCol w:w="3800"/>
      </w:tblGrid>
      <w:tr w:rsidR="001D7C35" w:rsidRPr="00BE65C1" w14:paraId="60F6890F" w14:textId="77777777" w:rsidTr="009A79C2">
        <w:trPr>
          <w:trHeight w:val="900"/>
        </w:trPr>
        <w:tc>
          <w:tcPr>
            <w:tcW w:w="5457" w:type="dxa"/>
          </w:tcPr>
          <w:p w14:paraId="00E3B31A" w14:textId="77777777" w:rsidR="001D7C35" w:rsidRPr="00BE65C1" w:rsidRDefault="001D7C35" w:rsidP="009A79C2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E65C1">
              <w:rPr>
                <w:rFonts w:ascii="Verdana" w:hAnsi="Verdana" w:cs="Arial"/>
                <w:sz w:val="22"/>
                <w:szCs w:val="22"/>
              </w:rPr>
              <w:t xml:space="preserve">Por: </w:t>
            </w:r>
            <w:r w:rsidRPr="00BE65C1">
              <w:rPr>
                <w:rFonts w:ascii="Verdana" w:hAnsi="Verdana" w:cs="Arial"/>
                <w:b/>
                <w:sz w:val="22"/>
                <w:szCs w:val="22"/>
              </w:rPr>
              <w:t>Cenit Transporte y Logística de Hidrocarburos S.A.S</w:t>
            </w:r>
          </w:p>
          <w:p w14:paraId="3A5A98E1" w14:textId="77777777" w:rsidR="001D7C35" w:rsidRPr="00BE65C1" w:rsidRDefault="001D7C35" w:rsidP="009A79C2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0A7BE90" w14:textId="77777777" w:rsidR="001D7C35" w:rsidRPr="00BE65C1" w:rsidRDefault="001D7C35" w:rsidP="009A79C2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E65C1">
              <w:rPr>
                <w:rFonts w:ascii="Verdana" w:hAnsi="Verdana" w:cs="Arial"/>
                <w:sz w:val="22"/>
                <w:szCs w:val="22"/>
              </w:rPr>
              <w:t>________________________</w:t>
            </w:r>
          </w:p>
          <w:p w14:paraId="7E4682E9" w14:textId="77777777" w:rsidR="001D7C35" w:rsidRPr="00BE65C1" w:rsidRDefault="001D7C35" w:rsidP="009A79C2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E65C1">
              <w:rPr>
                <w:rFonts w:ascii="Verdana" w:hAnsi="Verdana" w:cs="Arial"/>
                <w:sz w:val="22"/>
                <w:szCs w:val="22"/>
              </w:rPr>
              <w:t xml:space="preserve">Nombre: </w:t>
            </w:r>
          </w:p>
          <w:p w14:paraId="7219145C" w14:textId="77777777" w:rsidR="001D7C35" w:rsidRPr="00BE65C1" w:rsidRDefault="001D7C35" w:rsidP="009A79C2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E65C1">
              <w:rPr>
                <w:rFonts w:ascii="Verdana" w:hAnsi="Verdana" w:cs="Arial"/>
                <w:sz w:val="22"/>
                <w:szCs w:val="22"/>
              </w:rPr>
              <w:t xml:space="preserve">Cargo: </w:t>
            </w:r>
          </w:p>
          <w:p w14:paraId="472F0708" w14:textId="77777777" w:rsidR="001D7C35" w:rsidRPr="00BE65C1" w:rsidRDefault="001D7C35" w:rsidP="009A79C2">
            <w:pPr>
              <w:spacing w:line="256" w:lineRule="auto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BE65C1">
              <w:rPr>
                <w:rFonts w:ascii="Verdana" w:hAnsi="Verdana" w:cs="Arial"/>
                <w:sz w:val="22"/>
                <w:szCs w:val="22"/>
              </w:rPr>
              <w:t xml:space="preserve">Fecha: </w:t>
            </w:r>
          </w:p>
        </w:tc>
        <w:tc>
          <w:tcPr>
            <w:tcW w:w="3435" w:type="dxa"/>
          </w:tcPr>
          <w:p w14:paraId="722D9040" w14:textId="77777777" w:rsidR="001D7C35" w:rsidRPr="00BE65C1" w:rsidRDefault="001D7C35" w:rsidP="009A79C2">
            <w:pPr>
              <w:spacing w:line="256" w:lineRule="auto"/>
              <w:ind w:left="243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E65C1">
              <w:rPr>
                <w:rFonts w:ascii="Verdana" w:hAnsi="Verdana" w:cs="Arial"/>
                <w:sz w:val="22"/>
                <w:szCs w:val="22"/>
              </w:rPr>
              <w:t xml:space="preserve">Por: </w:t>
            </w:r>
            <w:r w:rsidRPr="00BE65C1">
              <w:rPr>
                <w:rFonts w:ascii="Verdana" w:hAnsi="Verdana" w:cs="Arial"/>
                <w:b/>
                <w:sz w:val="22"/>
                <w:szCs w:val="22"/>
              </w:rPr>
              <w:t>[______________]</w:t>
            </w:r>
          </w:p>
          <w:p w14:paraId="5903D8FD" w14:textId="77777777" w:rsidR="001D7C35" w:rsidRPr="00BE65C1" w:rsidRDefault="001D7C35" w:rsidP="009A79C2">
            <w:pPr>
              <w:spacing w:line="256" w:lineRule="auto"/>
              <w:ind w:left="243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3A857ED" w14:textId="77777777" w:rsidR="001D7C35" w:rsidRPr="00BE65C1" w:rsidRDefault="001D7C35" w:rsidP="009A79C2">
            <w:pPr>
              <w:spacing w:line="256" w:lineRule="auto"/>
              <w:ind w:left="243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E65C1">
              <w:rPr>
                <w:rFonts w:ascii="Verdana" w:hAnsi="Verdana" w:cs="Arial"/>
                <w:sz w:val="22"/>
                <w:szCs w:val="22"/>
              </w:rPr>
              <w:t>________________________</w:t>
            </w:r>
          </w:p>
          <w:p w14:paraId="6C41D5CB" w14:textId="77777777" w:rsidR="001D7C35" w:rsidRPr="00BE65C1" w:rsidRDefault="001D7C35" w:rsidP="009A79C2">
            <w:pPr>
              <w:spacing w:line="256" w:lineRule="auto"/>
              <w:ind w:left="243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E65C1">
              <w:rPr>
                <w:rFonts w:ascii="Verdana" w:hAnsi="Verdana" w:cs="Arial"/>
                <w:sz w:val="22"/>
                <w:szCs w:val="22"/>
              </w:rPr>
              <w:t>Nombre: [_______________________]</w:t>
            </w:r>
          </w:p>
          <w:p w14:paraId="34B3BD84" w14:textId="77777777" w:rsidR="001D7C35" w:rsidRPr="00BE65C1" w:rsidRDefault="001D7C35" w:rsidP="009A79C2">
            <w:pPr>
              <w:spacing w:line="256" w:lineRule="auto"/>
              <w:ind w:left="243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E65C1">
              <w:rPr>
                <w:rFonts w:ascii="Verdana" w:hAnsi="Verdana" w:cs="Arial"/>
                <w:sz w:val="22"/>
                <w:szCs w:val="22"/>
              </w:rPr>
              <w:t>Cargo:  [_______________________]</w:t>
            </w:r>
          </w:p>
          <w:p w14:paraId="6E7A32AA" w14:textId="77777777" w:rsidR="001D7C35" w:rsidRPr="00BE65C1" w:rsidRDefault="001D7C35" w:rsidP="009A79C2">
            <w:pPr>
              <w:spacing w:line="256" w:lineRule="auto"/>
              <w:ind w:left="243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BE65C1">
              <w:rPr>
                <w:rFonts w:ascii="Verdana" w:hAnsi="Verdana" w:cs="Arial"/>
                <w:sz w:val="22"/>
                <w:szCs w:val="22"/>
              </w:rPr>
              <w:t>Fecha: [_______________________]</w:t>
            </w:r>
          </w:p>
        </w:tc>
      </w:tr>
    </w:tbl>
    <w:p w14:paraId="6CF4F477" w14:textId="77777777" w:rsidR="001D7C35" w:rsidRPr="00BE65C1" w:rsidRDefault="001D7C35" w:rsidP="001D7C35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14:paraId="0C536847" w14:textId="77777777" w:rsidR="001D7C35" w:rsidRDefault="001D7C35" w:rsidP="001D7C35">
      <w:pPr>
        <w:rPr>
          <w:rFonts w:ascii="Verdana" w:hAnsi="Verdana"/>
        </w:rPr>
      </w:pPr>
      <w:bookmarkStart w:id="4" w:name="_GoBack"/>
      <w:bookmarkEnd w:id="4"/>
    </w:p>
    <w:sectPr w:rsidR="001D7C35">
      <w:footerReference w:type="even" r:id="rId7"/>
      <w:footerReference w:type="default" r:id="rId8"/>
      <w:footerReference w:type="first" r:id="rId9"/>
      <w:pgSz w:w="12242" w:h="15842" w:code="1"/>
      <w:pgMar w:top="2268" w:right="1134" w:bottom="1701" w:left="226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01465" w14:textId="77777777" w:rsidR="00BD31F3" w:rsidRDefault="00BD31F3">
      <w:r>
        <w:separator/>
      </w:r>
    </w:p>
  </w:endnote>
  <w:endnote w:type="continuationSeparator" w:id="0">
    <w:p w14:paraId="7A194E09" w14:textId="77777777" w:rsidR="00BD31F3" w:rsidRDefault="00BD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5C65" w14:textId="77777777" w:rsidR="0086549F" w:rsidRDefault="005100FD">
    <w:pPr>
      <w:pStyle w:val="Piedepgina"/>
      <w:framePr w:wrap="around" w:vAnchor="text" w:hAnchor="margin" w:xAlign="right" w:y="1"/>
      <w:rPr>
        <w:rStyle w:val="Nmerodepgina"/>
        <w:sz w:val="19"/>
      </w:rPr>
    </w:pPr>
    <w:r>
      <w:rPr>
        <w:rStyle w:val="Nmerodepgina"/>
        <w:sz w:val="19"/>
      </w:rPr>
      <w:fldChar w:fldCharType="begin"/>
    </w:r>
    <w:r>
      <w:rPr>
        <w:rStyle w:val="Nmerodepgina"/>
        <w:sz w:val="19"/>
      </w:rPr>
      <w:instrText xml:space="preserve">PAGE  </w:instrText>
    </w:r>
    <w:r>
      <w:rPr>
        <w:rStyle w:val="Nmerodepgina"/>
        <w:sz w:val="19"/>
      </w:rPr>
      <w:fldChar w:fldCharType="separate"/>
    </w:r>
    <w:r>
      <w:rPr>
        <w:rStyle w:val="Nmerodepgina"/>
        <w:noProof/>
        <w:sz w:val="19"/>
      </w:rPr>
      <w:t>1</w:t>
    </w:r>
    <w:r>
      <w:rPr>
        <w:rStyle w:val="Nmerodepgina"/>
        <w:sz w:val="19"/>
      </w:rPr>
      <w:fldChar w:fldCharType="end"/>
    </w:r>
  </w:p>
  <w:p w14:paraId="19AB63BD" w14:textId="77777777" w:rsidR="0086549F" w:rsidRDefault="0086549F">
    <w:pPr>
      <w:pStyle w:val="Piedep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38EA8" w14:textId="77777777" w:rsidR="0086549F" w:rsidRDefault="0086549F">
    <w:pPr>
      <w:pStyle w:val="Piedepgina"/>
      <w:framePr w:wrap="around" w:vAnchor="text" w:hAnchor="margin" w:xAlign="right" w:y="1"/>
      <w:rPr>
        <w:rStyle w:val="Nmerodepgina"/>
        <w:sz w:val="19"/>
      </w:rPr>
    </w:pPr>
  </w:p>
  <w:p w14:paraId="75347947" w14:textId="77777777" w:rsidR="0086549F" w:rsidRDefault="005100FD">
    <w:pPr>
      <w:pStyle w:val="Piedepgina"/>
      <w:jc w:val="right"/>
      <w:rPr>
        <w:rFonts w:ascii="Arial" w:hAnsi="Arial"/>
        <w:sz w:val="19"/>
        <w:lang w:val="es-CO"/>
      </w:rPr>
    </w:pPr>
    <w:r>
      <w:rPr>
        <w:rFonts w:ascii="Arial" w:hAnsi="Arial"/>
        <w:sz w:val="19"/>
        <w:lang w:val="es-CO"/>
      </w:rPr>
      <w:t>Acuerdo de Confidencialidad</w:t>
    </w:r>
  </w:p>
  <w:p w14:paraId="791D861C" w14:textId="77777777" w:rsidR="0086549F" w:rsidRDefault="005100FD">
    <w:pPr>
      <w:pStyle w:val="Piedepgina"/>
      <w:jc w:val="right"/>
      <w:rPr>
        <w:rFonts w:ascii="Arial" w:hAnsi="Arial"/>
        <w:sz w:val="19"/>
        <w:lang w:val="es-CO"/>
      </w:rPr>
    </w:pPr>
    <w:r>
      <w:rPr>
        <w:rFonts w:ascii="Arial" w:hAnsi="Arial"/>
        <w:sz w:val="19"/>
        <w:lang w:val="es-CO"/>
      </w:rPr>
      <w:t xml:space="preserve">Hoja  </w:t>
    </w:r>
    <w:r>
      <w:rPr>
        <w:rStyle w:val="Nmerodepgina"/>
        <w:sz w:val="19"/>
      </w:rPr>
      <w:fldChar w:fldCharType="begin"/>
    </w:r>
    <w:r>
      <w:rPr>
        <w:rStyle w:val="Nmerodepgina"/>
        <w:sz w:val="19"/>
      </w:rPr>
      <w:instrText xml:space="preserve"> PAGE </w:instrText>
    </w:r>
    <w:r>
      <w:rPr>
        <w:rStyle w:val="Nmerodepgina"/>
        <w:sz w:val="19"/>
      </w:rPr>
      <w:fldChar w:fldCharType="separate"/>
    </w:r>
    <w:r w:rsidR="001D7C35">
      <w:rPr>
        <w:rStyle w:val="Nmerodepgina"/>
        <w:noProof/>
        <w:sz w:val="19"/>
      </w:rPr>
      <w:t>3</w:t>
    </w:r>
    <w:r>
      <w:rPr>
        <w:rStyle w:val="Nmerodepgina"/>
        <w:sz w:val="19"/>
      </w:rPr>
      <w:fldChar w:fldCharType="end"/>
    </w:r>
    <w:r>
      <w:rPr>
        <w:rStyle w:val="Nmerodepgina"/>
        <w:sz w:val="19"/>
      </w:rPr>
      <w:t xml:space="preserve">  de  </w:t>
    </w:r>
    <w:r>
      <w:rPr>
        <w:rStyle w:val="Nmerodepgina"/>
        <w:sz w:val="19"/>
      </w:rPr>
      <w:fldChar w:fldCharType="begin"/>
    </w:r>
    <w:r>
      <w:rPr>
        <w:rStyle w:val="Nmerodepgina"/>
        <w:sz w:val="19"/>
      </w:rPr>
      <w:instrText xml:space="preserve"> NUMPAGES </w:instrText>
    </w:r>
    <w:r>
      <w:rPr>
        <w:rStyle w:val="Nmerodepgina"/>
        <w:sz w:val="19"/>
      </w:rPr>
      <w:fldChar w:fldCharType="separate"/>
    </w:r>
    <w:r w:rsidR="001D7C35">
      <w:rPr>
        <w:rStyle w:val="Nmerodepgina"/>
        <w:noProof/>
        <w:sz w:val="19"/>
      </w:rPr>
      <w:t>3</w:t>
    </w:r>
    <w:r>
      <w:rPr>
        <w:rStyle w:val="Nmerodepgina"/>
        <w:sz w:val="19"/>
      </w:rPr>
      <w:fldChar w:fldCharType="end"/>
    </w:r>
  </w:p>
  <w:p w14:paraId="7CAEE0F8" w14:textId="77777777" w:rsidR="0086549F" w:rsidRDefault="0086549F">
    <w:pPr>
      <w:pStyle w:val="Piedepgina"/>
      <w:ind w:right="360"/>
      <w:jc w:val="center"/>
      <w:rPr>
        <w:rFonts w:ascii="Arial" w:hAnsi="Arial"/>
        <w:sz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FC753" w14:textId="77777777" w:rsidR="0086549F" w:rsidRDefault="005100FD">
    <w:pPr>
      <w:pStyle w:val="Piedepgina"/>
      <w:jc w:val="right"/>
      <w:rPr>
        <w:rFonts w:ascii="Arial" w:hAnsi="Arial"/>
        <w:sz w:val="19"/>
        <w:lang w:val="es-CO"/>
      </w:rPr>
    </w:pPr>
    <w:r>
      <w:rPr>
        <w:rFonts w:ascii="Arial" w:hAnsi="Arial"/>
        <w:sz w:val="19"/>
        <w:lang w:val="es-CO"/>
      </w:rPr>
      <w:t>Acuerdo de Confidencialidad</w:t>
    </w:r>
  </w:p>
  <w:p w14:paraId="5CAE68DB" w14:textId="77777777" w:rsidR="0086549F" w:rsidRDefault="005100FD">
    <w:pPr>
      <w:pStyle w:val="Piedepgina"/>
      <w:jc w:val="right"/>
      <w:rPr>
        <w:rFonts w:ascii="Arial" w:hAnsi="Arial"/>
        <w:sz w:val="19"/>
        <w:lang w:val="es-CO"/>
      </w:rPr>
    </w:pPr>
    <w:r>
      <w:rPr>
        <w:rFonts w:ascii="Arial" w:hAnsi="Arial"/>
        <w:sz w:val="19"/>
        <w:lang w:val="es-CO"/>
      </w:rPr>
      <w:t xml:space="preserve">Hoja  </w:t>
    </w:r>
    <w:r>
      <w:rPr>
        <w:rStyle w:val="Nmerodepgina"/>
        <w:sz w:val="19"/>
      </w:rPr>
      <w:fldChar w:fldCharType="begin"/>
    </w:r>
    <w:r>
      <w:rPr>
        <w:rStyle w:val="Nmerodepgina"/>
        <w:sz w:val="19"/>
      </w:rPr>
      <w:instrText xml:space="preserve"> PAGE </w:instrText>
    </w:r>
    <w:r>
      <w:rPr>
        <w:rStyle w:val="Nmerodepgina"/>
        <w:sz w:val="19"/>
      </w:rPr>
      <w:fldChar w:fldCharType="separate"/>
    </w:r>
    <w:r w:rsidR="004048B0">
      <w:rPr>
        <w:rStyle w:val="Nmerodepgina"/>
        <w:noProof/>
        <w:sz w:val="19"/>
      </w:rPr>
      <w:t>4</w:t>
    </w:r>
    <w:r>
      <w:rPr>
        <w:rStyle w:val="Nmerodepgina"/>
        <w:sz w:val="19"/>
      </w:rPr>
      <w:fldChar w:fldCharType="end"/>
    </w:r>
    <w:r>
      <w:rPr>
        <w:rStyle w:val="Nmerodepgina"/>
        <w:sz w:val="19"/>
      </w:rPr>
      <w:t xml:space="preserve">  de  </w:t>
    </w:r>
    <w:r>
      <w:rPr>
        <w:rStyle w:val="Nmerodepgina"/>
        <w:sz w:val="19"/>
      </w:rPr>
      <w:fldChar w:fldCharType="begin"/>
    </w:r>
    <w:r>
      <w:rPr>
        <w:rStyle w:val="Nmerodepgina"/>
        <w:sz w:val="19"/>
      </w:rPr>
      <w:instrText xml:space="preserve"> NUMPAGES </w:instrText>
    </w:r>
    <w:r>
      <w:rPr>
        <w:rStyle w:val="Nmerodepgina"/>
        <w:sz w:val="19"/>
      </w:rPr>
      <w:fldChar w:fldCharType="separate"/>
    </w:r>
    <w:r w:rsidR="004048B0">
      <w:rPr>
        <w:rStyle w:val="Nmerodepgina"/>
        <w:noProof/>
        <w:sz w:val="19"/>
      </w:rPr>
      <w:t>4</w:t>
    </w:r>
    <w:r>
      <w:rPr>
        <w:rStyle w:val="Nmerodepgina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6E24F" w14:textId="77777777" w:rsidR="00BD31F3" w:rsidRDefault="00BD31F3">
      <w:r>
        <w:separator/>
      </w:r>
    </w:p>
  </w:footnote>
  <w:footnote w:type="continuationSeparator" w:id="0">
    <w:p w14:paraId="6AE6F28B" w14:textId="77777777" w:rsidR="00BD31F3" w:rsidRDefault="00BD3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F01BC"/>
    <w:multiLevelType w:val="multilevel"/>
    <w:tmpl w:val="53A8D0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F3D08"/>
    <w:multiLevelType w:val="hybridMultilevel"/>
    <w:tmpl w:val="4FBA2572"/>
    <w:lvl w:ilvl="0" w:tplc="747A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9F7F82"/>
    <w:multiLevelType w:val="multilevel"/>
    <w:tmpl w:val="C25E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60"/>
    <w:rsid w:val="001D7C35"/>
    <w:rsid w:val="002F0CC7"/>
    <w:rsid w:val="00304A5A"/>
    <w:rsid w:val="004048B0"/>
    <w:rsid w:val="004E4D60"/>
    <w:rsid w:val="004E6233"/>
    <w:rsid w:val="005100FD"/>
    <w:rsid w:val="005D7FD6"/>
    <w:rsid w:val="007256FA"/>
    <w:rsid w:val="0086549F"/>
    <w:rsid w:val="00B04996"/>
    <w:rsid w:val="00BD31F3"/>
    <w:rsid w:val="00BE65C1"/>
    <w:rsid w:val="00E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9FBA"/>
  <w15:chartTrackingRefBased/>
  <w15:docId w15:val="{87A5BF97-381B-48A8-8D02-98DB277C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E4D60"/>
    <w:pPr>
      <w:keepNext/>
      <w:tabs>
        <w:tab w:val="left" w:pos="6521"/>
      </w:tabs>
      <w:jc w:val="center"/>
      <w:outlineLvl w:val="0"/>
    </w:pPr>
    <w:rPr>
      <w:rFonts w:ascii="Arial" w:hAnsi="Arial"/>
      <w:b/>
      <w:sz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E4D60"/>
    <w:pPr>
      <w:keepNext/>
      <w:jc w:val="center"/>
      <w:outlineLvl w:val="1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4D60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E4D60"/>
    <w:rPr>
      <w:rFonts w:ascii="Arial" w:eastAsia="Times New Roman" w:hAnsi="Arial" w:cs="Times New Roman"/>
      <w:b/>
      <w:bCs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4E4D60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4E4D6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4E4D60"/>
  </w:style>
  <w:style w:type="paragraph" w:styleId="Ttulo">
    <w:name w:val="Title"/>
    <w:basedOn w:val="Normal"/>
    <w:link w:val="TtuloCar"/>
    <w:qFormat/>
    <w:rsid w:val="004E4D60"/>
    <w:pPr>
      <w:jc w:val="center"/>
    </w:pPr>
    <w:rPr>
      <w:rFonts w:ascii="Arial" w:hAnsi="Arial"/>
      <w:b/>
      <w:sz w:val="22"/>
      <w:lang w:val="es-ES_tradnl"/>
    </w:rPr>
  </w:style>
  <w:style w:type="character" w:customStyle="1" w:styleId="TtuloCar">
    <w:name w:val="Título Car"/>
    <w:basedOn w:val="Fuentedeprrafopredeter"/>
    <w:link w:val="Ttulo"/>
    <w:rsid w:val="004E4D60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4E4D60"/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E4D60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25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Soto (CENIT)</dc:creator>
  <cp:keywords/>
  <dc:description/>
  <cp:lastModifiedBy>Andrea Medina (CENIT)</cp:lastModifiedBy>
  <cp:revision>2</cp:revision>
  <dcterms:created xsi:type="dcterms:W3CDTF">2020-04-13T22:04:00Z</dcterms:created>
  <dcterms:modified xsi:type="dcterms:W3CDTF">2020-04-13T22:04:00Z</dcterms:modified>
</cp:coreProperties>
</file>